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keepNext w:val="1"/>
        <w:keepLines w:val="1"/>
        <w:spacing w:after="80" w:before="360"/>
        <w:ind/>
        <w:jc w:val="center"/>
        <w:outlineLvl w:val="0"/>
        <w:rPr>
          <w:rFonts w:ascii="Times New Roman" w:hAnsi="Times New Roman"/>
          <w:color w:val="2F5496"/>
          <w:sz w:val="28"/>
        </w:rPr>
      </w:pPr>
      <w:r>
        <w:rPr>
          <w:rFonts w:ascii="Times New Roman" w:hAnsi="Times New Roman"/>
          <w:color w:val="2F5496"/>
          <w:sz w:val="28"/>
        </w:rPr>
        <w:t>Меморандум сотрудничества</w:t>
      </w:r>
    </w:p>
    <w:p w14:paraId="02000000">
      <w:pPr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Руководствуясь принципами многостороннего международного сотрудничества стран БРИКС, ЕАЭС, ШОС, договаривающиеся стороны … в лице… подписали настоящий меморандум о взаимодействии и кооперации на базе Платформы инновационного развития БРИКС (Платформа </w:t>
      </w:r>
      <w:r>
        <w:rPr>
          <w:rFonts w:ascii="Times New Roman" w:hAnsi="Times New Roman"/>
          <w:sz w:val="28"/>
        </w:rPr>
        <w:t>IPBC</w:t>
      </w:r>
      <w:r>
        <w:rPr>
          <w:rFonts w:ascii="Times New Roman" w:hAnsi="Times New Roman"/>
          <w:sz w:val="28"/>
        </w:rPr>
        <w:t xml:space="preserve">) и стандартов обычаев делового оборота </w:t>
      </w:r>
      <w:r>
        <w:rPr>
          <w:rFonts w:ascii="Times New Roman" w:hAnsi="Times New Roman"/>
          <w:sz w:val="28"/>
        </w:rPr>
        <w:t>IP</w:t>
      </w:r>
      <w:r>
        <w:rPr>
          <w:rFonts w:ascii="Times New Roman" w:hAnsi="Times New Roman"/>
          <w:sz w:val="28"/>
        </w:rPr>
        <w:t>-Активов (исключительных имущественных монопольных прав) БРИКС.</w:t>
      </w:r>
    </w:p>
    <w:p w14:paraId="03000000">
      <w:pPr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 Принципы сотрудничества</w:t>
      </w:r>
    </w:p>
    <w:p w14:paraId="04000000">
      <w:pPr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Для медиации и Суда используются практики и право-подтверждающие документа на IP-Активы по стандартам обычаев делового оборота </w:t>
      </w:r>
      <w:r>
        <w:rPr>
          <w:rFonts w:ascii="Times New Roman" w:hAnsi="Times New Roman"/>
          <w:sz w:val="28"/>
        </w:rPr>
        <w:t>IP</w:t>
      </w:r>
      <w:r>
        <w:rPr>
          <w:rFonts w:ascii="Times New Roman" w:hAnsi="Times New Roman"/>
          <w:sz w:val="28"/>
        </w:rPr>
        <w:t>-Активов БРИКС.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1.2. Методология сотрудничества: Конвенция IP-Менеджмента; стандарты и практики IPM и IPBC.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1.3. Одобренные Принципы сотрудничества с IPBC и их обновление отражаются на сайте IPBC.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1.4. Партнерские программы сотрудничества: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аудит, паспортизация, рейтингование и совместное администрирование IP-Активов;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страхование рисков авторов, правопреемников, правообладателей IP-Активов;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совместное формирование и исполнение бюджетов по проектам и практикам БРИКС.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1.5. Сотрудничество завершается в случае дискредитации …(партнером) Дорожной карты IPBC.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1.6. Сотрудничество может предусматривать обучение представителей …(партнера) практикам </w:t>
      </w:r>
      <w:r>
        <w:rPr>
          <w:rFonts w:ascii="Times New Roman" w:hAnsi="Times New Roman"/>
          <w:sz w:val="28"/>
        </w:rPr>
        <w:t>IPBC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1.7. Сотрудничество не является слиянием, поглощением, финансированием и не требует отчетности.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1.8. Сотрудничество предусматривает формирование и актуализацию совместной дорожной карты.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1.9. Сотрудничество является открытым, публичным, отраслевым, проектным, системным.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1.10. Стандартизацию администрируют: Совет стандартизации IPBC; Депозитарий </w:t>
      </w:r>
      <w:r>
        <w:rPr>
          <w:rFonts w:ascii="Times New Roman" w:hAnsi="Times New Roman"/>
          <w:sz w:val="28"/>
        </w:rPr>
        <w:t>IPBC</w:t>
      </w:r>
      <w:r>
        <w:rPr>
          <w:rFonts w:ascii="Times New Roman" w:hAnsi="Times New Roman"/>
          <w:sz w:val="28"/>
        </w:rPr>
        <w:t xml:space="preserve">; Комитеты стандартизации </w:t>
      </w:r>
      <w:r>
        <w:rPr>
          <w:rFonts w:ascii="Times New Roman" w:hAnsi="Times New Roman"/>
          <w:sz w:val="28"/>
        </w:rPr>
        <w:t>IPBC</w:t>
      </w:r>
      <w:r>
        <w:rPr>
          <w:rFonts w:ascii="Times New Roman" w:hAnsi="Times New Roman"/>
          <w:sz w:val="28"/>
        </w:rPr>
        <w:t>; Руководитель ВТК Комитет стандартизации …(партнера).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1.11. Финансовые потоки: стандартизация практик и паспортизация, менеджмент IP-Активов.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1.12. Форматы сотрудничества: Советы; Комитеты; Ассоциации; Центры компетенций IPBC.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1.13. Цель сотрудничества: паспортизация IP-Активов на рынках БРИКС, ЕАЭС, РФ, ШОС для: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— обучения представителей искусства и культуры коммерциализации </w:t>
      </w:r>
      <w:r>
        <w:rPr>
          <w:rFonts w:ascii="Times New Roman" w:hAnsi="Times New Roman"/>
          <w:sz w:val="28"/>
        </w:rPr>
        <w:t>IP</w:t>
      </w:r>
      <w:r>
        <w:rPr>
          <w:rFonts w:ascii="Times New Roman" w:hAnsi="Times New Roman"/>
          <w:sz w:val="28"/>
        </w:rPr>
        <w:t>-Активов;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привлечения инвестиций в отечественную искусство и культуру;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профилактики рисков международного инновационного взаимодействия и кооперации;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стимулирование развития искусства и культуры авторскими правами на произведения;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формирования единой международной методологии рынка произведений;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формирования единой методологии развития культуры стран БРИКС, ЕАЭС, ШОС;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формирования общего рынка и биржи произведений искусства и культуры;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формирования профессионального экспертного сообщества стран БРИКС, ЕАЭС, ШОС.</w:t>
      </w:r>
    </w:p>
    <w:p w14:paraId="05000000">
      <w:pPr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2. Стандарты и правила формирования культурных ценностей</w:t>
      </w:r>
    </w:p>
    <w:p w14:paraId="06000000">
      <w:pPr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…(партнер) входит в инфраструктуру Платформы </w:t>
      </w:r>
      <w:r>
        <w:rPr>
          <w:rFonts w:ascii="Times New Roman" w:hAnsi="Times New Roman"/>
          <w:sz w:val="28"/>
        </w:rPr>
        <w:t>IPBC</w:t>
      </w:r>
      <w:r>
        <w:rPr>
          <w:rFonts w:ascii="Times New Roman" w:hAnsi="Times New Roman"/>
          <w:sz w:val="28"/>
        </w:rPr>
        <w:t xml:space="preserve"> и обучается практикам </w:t>
      </w:r>
      <w:r>
        <w:rPr>
          <w:rFonts w:ascii="Times New Roman" w:hAnsi="Times New Roman"/>
          <w:sz w:val="28"/>
        </w:rPr>
        <w:t>IPBC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2.2. …(партнер) формирует Комитет стандартизации </w:t>
      </w:r>
      <w:r>
        <w:rPr>
          <w:rFonts w:ascii="Times New Roman" w:hAnsi="Times New Roman"/>
          <w:sz w:val="28"/>
        </w:rPr>
        <w:t>IPBC</w:t>
      </w:r>
      <w:r>
        <w:rPr>
          <w:rFonts w:ascii="Times New Roman" w:hAnsi="Times New Roman"/>
          <w:sz w:val="28"/>
        </w:rPr>
        <w:t xml:space="preserve"> и полномочных представителей: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председатель Комитета стандартизации от …(партнера);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— ответственный секретарь Комитета стандартизации от </w:t>
      </w:r>
      <w:r>
        <w:rPr>
          <w:rFonts w:ascii="Times New Roman" w:hAnsi="Times New Roman"/>
          <w:sz w:val="28"/>
        </w:rPr>
        <w:t>IPBC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2.3. …(партнер) готовит: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— проект положения о своем Комитете стандартизации </w:t>
      </w:r>
      <w:r>
        <w:rPr>
          <w:rFonts w:ascii="Times New Roman" w:hAnsi="Times New Roman"/>
          <w:sz w:val="28"/>
        </w:rPr>
        <w:t>IPBC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поэтапный план стандартизации с комментариями по стандартам;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проекты стандартов серии «Методология формирования культуры стран БРИКС».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2.4. </w:t>
      </w:r>
      <w:r>
        <w:rPr>
          <w:rFonts w:ascii="Times New Roman" w:hAnsi="Times New Roman"/>
          <w:sz w:val="28"/>
        </w:rPr>
        <w:t>IPBC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консультирует …(партнера) в области стандартизации требований, правил, рекомендаций;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— редактирует стандарты …(партнера) в методологии паспортизации и рынка </w:t>
      </w:r>
      <w:r>
        <w:rPr>
          <w:rFonts w:ascii="Times New Roman" w:hAnsi="Times New Roman"/>
          <w:sz w:val="28"/>
        </w:rPr>
        <w:t>IP</w:t>
      </w:r>
      <w:r>
        <w:rPr>
          <w:rFonts w:ascii="Times New Roman" w:hAnsi="Times New Roman"/>
          <w:sz w:val="28"/>
        </w:rPr>
        <w:t>-Активов;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вводит стандарты серии «Методология формирования культуры стран БРИКС» в действие;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— дает рекомендации по адаптации, актуализации и коммерциализации стандартов серии «Методология формирования культуры стран БРИКС».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2.5. Стандарты …(партнера) разрабатываются ВТК специалистов и охраняются авторским правом.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2.6. Агентские соглашения участников ВТК (авторов) заключаются только с Депозитарием </w:t>
      </w:r>
      <w:r>
        <w:rPr>
          <w:rFonts w:ascii="Times New Roman" w:hAnsi="Times New Roman"/>
          <w:sz w:val="28"/>
        </w:rPr>
        <w:t>IPBC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2.7. Лицензионные перечисления за использование стандартов …(партнера) через Депозитарий IPBC.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2.8. Финансирование стандартизации компенсируется лицензионными выплатами авторам.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2.9. Для стандартизации могут привлекаться инвесторы стран БРИКС, ЕАЭС, ШОС и кандидатов.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2.10. Финансовые потоки стандартизации по приоритетам культуры — через …(партнера).</w:t>
      </w:r>
    </w:p>
    <w:p w14:paraId="0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2025-12-01T11:21:28Z</dcterms:modified>
</cp:coreProperties>
</file>